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 w:val="0"/>
          <w:color w:val="1F4E79"/>
          <w:sz w:val="40"/>
        </w:rPr>
        <w:t>Základní návrh AI požadavku</w:t>
      </w:r>
    </w:p>
    <w:p>
      <w:pPr>
        <w:jc w:val="center"/>
      </w:pPr>
      <w:r>
        <w:rPr>
          <w:rFonts w:ascii="Arial" w:hAnsi="Arial" w:eastAsia="Arial"/>
          <w:b w:val="0"/>
          <w:i/>
          <w:color w:val="5F5F5F"/>
          <w:sz w:val="20"/>
        </w:rPr>
        <w:t>Krátký vstupní dokument pro navrhovatele a digitálního ambasadora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CE4D6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</w:tcPr>
          <w:p>
            <w:r>
              <w:rPr>
                <w:rFonts w:ascii="Arial" w:hAnsi="Arial" w:eastAsia="Arial"/>
                <w:b/>
                <w:i w:val="0"/>
                <w:color w:val="C00000"/>
                <w:sz w:val="18"/>
              </w:rPr>
              <w:t xml:space="preserve">Bezpečnostní upozornění: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Do dokumentu nevkládejte utajované informace, citlivé operační údaje ani osobní údaje, pokud k tomu není určené schválené prostředí. Citlivé přílohy popište pouze evidenčním číslem nebo odkazem na řízené úložiště.</w:t>
            </w:r>
          </w:p>
        </w:tc>
      </w:tr>
    </w:tbl>
    <w:p>
      <w:pPr>
        <w:spacing w:after="60"/>
        <w:jc w:val="left"/>
      </w:pPr>
      <w:r>
        <w:rPr>
          <w:rFonts w:ascii="Arial" w:hAnsi="Arial" w:eastAsia="Arial"/>
          <w:b w:val="0"/>
          <w:i w:val="0"/>
          <w:color w:val="5F5F5F"/>
          <w:sz w:val="14"/>
        </w:rPr>
        <w:t>AIIP_IMPORT_SCHEMA_VERSION: AIIP-DOCX-1.0 | AIIP_DOCUMENT_TYPE: quick_intake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EF6FB"/>
            <w:tcBorders>
              <w:top w:val="single" w:sz="8" w:space="0" w:color="9ECAE1"/>
              <w:left w:val="single" w:sz="8" w:space="0" w:color="9ECAE1"/>
              <w:bottom w:val="single" w:sz="8" w:space="0" w:color="9ECAE1"/>
              <w:right w:val="single" w:sz="8" w:space="0" w:color="9ECAE1"/>
            </w:tcBorders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18"/>
              </w:rPr>
              <w:t xml:space="preserve">Účel: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Tento dokument pomáhá sepsat první verzi AI požadavku ještě před spuštěním aplikace. Po spuštění aplikace jej bude možné nahrát a převést na nový podnět v AI Innovation Portalu.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1. Základní údaje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Název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krátký, věcný název]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aiip.idea.title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Navrhovatel / útvar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aiip.submitter.unit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Kontaktní osoba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jméno, funkce, kontakt]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aiip.submitter.contact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Digitální ambasador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je znám]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aiip.idea.ambassador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Priorita navrhovatele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[Nízká / střední / vysoká / kritická]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aiip.idea.priority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Korelační označení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volitelné; např. zkratka útvaru + téma]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aiip.import.correlationId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2. Co chcete zlepšit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Současný proces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jak se práce provádí dnes]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aiip.idea.currentProcessDescription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Hlavní problém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problém popište procesně, nikoli pouze jako požadavek na nástroj]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aiip.idea.problemStatement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Důsledek neřešení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zpoždění, chybovost, duplicitní práce, riziko opomenutí, nízká kvalita]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aiip.idea.problemImpact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Požadovaný výstup AI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co má AI připravit, najít, shrnout, zkontrolovat nebo doporučit]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aiip.idea.proposedOutcome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Rozhodnutí, která AI nesmí činit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např. schválit výběr, vydat závěr, nahradit garanta, rozhodnout o prioritě]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aiip.idea.decisionBoundary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3. Uživatelé, rozsah a četnost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Cíloví uživatelé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role / funkce]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aiip.idea.targetUsers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Odhad počtu uživatelů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jednotky / desítky / stovky / celorezortně]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aiip.idea.estimatedUserCount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Organizační rozsah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útvar / sekce / velitelství / rezort]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aiip.idea.organizationalScope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Četnost práce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denně / týdně / měsíčně / při cvičení / při akvizici apod.]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aiip.idea.frequency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Objem práce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počet dokumentů, případů, zdrojů nebo hodin]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aiip.idea.estimatedWorkload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4. Přínos a měření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Typ přínosu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[Úspora času / snížení chybovosti / zvýšení kvality / rychlejší rozhodování / dostupnost informací]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aiip.idea.benefitType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Krátký popis přínosu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jak poznáme, že to pomohlo]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aiip.idea.expectedBenefit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Současný stav – baseline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současný čas, počet oprav, chybovost, počet případů; odhad stačí]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aiip.idea.baseline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Cílová hodnota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např. zkrácení o 20 %, méně oprav, více zpracovaných zdrojů]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aiip.idea.targetMetric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5. Data a citlivost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Datové vstupy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typy dokumentů, systémů, zdrojů, šablon, záznamů]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aiip.idea.dataSources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Otevřené zdroje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/ nejasné – upřesnit]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aiip.idea.openSources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Interní dokumenty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/ nejasné – upřesnit]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aiip.idea.internalDocuments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Osobní údaje nebo obchodní citlivost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/ nejasné – upřesnit]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aiip.idea.personalOrBusinessSensitive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Předběžná citlivost vstupů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aiip.idea.inputDataSensitivity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Předběžná citlivost výstupů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aiip.idea.outputDataSensitivity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Dostupnost vzorků pro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[Anonymizované / syntetické / řízený přístup / zatím nejsou]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aiip.idea.sampleDataAvailability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6. Předpokládané řešení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Navrhovaná technologie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[LLM / RAG / OCR / STT / computer vision / predikce / agent / existující nástroj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aiip.idea.proposedTechnology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Preferované prostředí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[Internet experiment / cloud / hybrid / on-prem / edge / nelze určit]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aiip.idea.environmentPreference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Existující řešení nebo iniciativa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existuje pilot, nástroj, šablona, Copilot/M365 iniciativa apod.]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aiip.idea.existingInitiative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Přílohy a odkazy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pouze odkazy/evidenční čísla; nevkládat citlivé přílohy]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aiip.idea.attachmentReferences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7. Kontrolní seznam před odesláním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c>
          <w:tcPr>
            <w:tcW w:type="dxa" w:w="907"/>
            <w:shd w:fill="1F4E7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Splněno</w:t>
            </w:r>
          </w:p>
        </w:tc>
        <w:tc>
          <w:tcPr>
            <w:tcW w:type="dxa" w:w="4649"/>
            <w:shd w:fill="1F4E7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Kontrola</w:t>
            </w:r>
          </w:p>
        </w:tc>
        <w:tc>
          <w:tcPr>
            <w:tcW w:type="dxa" w:w="4536"/>
            <w:shd w:fill="1F4E7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Poznámka</w:t>
            </w:r>
          </w:p>
        </w:tc>
      </w:tr>
      <w:tr>
        <w:tc>
          <w:tcPr>
            <w:tcW w:type="dxa" w:w="90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sz w:val="22"/>
              </w:rPr>
              <w:t>☐</w:t>
            </w:r>
          </w:p>
        </w:tc>
        <w:tc>
          <w:tcPr>
            <w:tcW w:type="dxa" w:w="464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Problém je popsán jako procesní potřeba, nikoli jen jako požadavek na konkrétní nástroj.</w:t>
            </w:r>
          </w:p>
        </w:tc>
        <w:tc>
          <w:tcPr>
            <w:tcW w:type="dxa" w:w="4536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</w:tr>
      <w:tr>
        <w:tc>
          <w:tcPr>
            <w:tcW w:type="dxa" w:w="90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sz w:val="22"/>
              </w:rPr>
              <w:t>☐</w:t>
            </w:r>
          </w:p>
        </w:tc>
        <w:tc>
          <w:tcPr>
            <w:tcW w:type="dxa" w:w="464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Je uvedeno, kdo bude výstup používat a jak často.</w:t>
            </w:r>
          </w:p>
        </w:tc>
        <w:tc>
          <w:tcPr>
            <w:tcW w:type="dxa" w:w="4536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</w:tr>
      <w:tr>
        <w:tc>
          <w:tcPr>
            <w:tcW w:type="dxa" w:w="90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sz w:val="22"/>
              </w:rPr>
              <w:t>☐</w:t>
            </w:r>
          </w:p>
        </w:tc>
        <w:tc>
          <w:tcPr>
            <w:tcW w:type="dxa" w:w="464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Je popsáno, jaká data budou vstupovat do řešení.</w:t>
            </w:r>
          </w:p>
        </w:tc>
        <w:tc>
          <w:tcPr>
            <w:tcW w:type="dxa" w:w="4536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</w:tr>
      <w:tr>
        <w:tc>
          <w:tcPr>
            <w:tcW w:type="dxa" w:w="90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sz w:val="22"/>
              </w:rPr>
              <w:t>☐</w:t>
            </w:r>
          </w:p>
        </w:tc>
        <w:tc>
          <w:tcPr>
            <w:tcW w:type="dxa" w:w="464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Je uvedeno, co AI nesmí samostatně rozhodovat.</w:t>
            </w:r>
          </w:p>
        </w:tc>
        <w:tc>
          <w:tcPr>
            <w:tcW w:type="dxa" w:w="4536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</w:tr>
      <w:tr>
        <w:tc>
          <w:tcPr>
            <w:tcW w:type="dxa" w:w="907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sz w:val="22"/>
              </w:rPr>
              <w:t>☐</w:t>
            </w:r>
          </w:p>
        </w:tc>
        <w:tc>
          <w:tcPr>
            <w:tcW w:type="dxa" w:w="4649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Citlivé nebo utajované přílohy nejsou vloženy přímo do dokumentu.</w:t>
            </w:r>
          </w:p>
        </w:tc>
        <w:tc>
          <w:tcPr>
            <w:tcW w:type="dxa" w:w="4536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</w:tcPr>
          <w:p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8. Importní pravidla pro aplikaci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Aplikace při importu čte hodnoty ze sloupce „Hodnota / odpověď“ a mapuje je podle sloupce „Importní klíč“.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Hodnoty [DOPLNIT], prázdné buňky a instrukční text v hranatých závorkách se při importu označí jako chybějící informace.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Dokument typu quick_intake vytvoří nový záznam ve stavu „Nový podnět“ a automaticky doplní návrh klasifikace, skóre a duplicit.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4" w:right="709" w:bottom="680" w:left="709" w:header="34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 w:val="0"/>
        <w:color w:val="5F5F5F"/>
        <w:sz w:val="14"/>
      </w:rPr>
      <w:t>Neobsahuje utajované informace. Citlivé přílohy evidujte pouze odkazem na řízené úložiště.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 w:val="0"/>
        <w:i w:val="0"/>
        <w:color w:val="5F5F5F"/>
        <w:sz w:val="16"/>
      </w:rPr>
      <w:t>AI Innovation Portal | importovatelný pracovní dokument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návrh AI požadavku</dc:title>
  <dc:subject>Importovatelná šablona pro AI požadavky</dc:subject>
  <dc:creator>AI Innovation Portal</dc:creator>
  <cp:keywords>AIIP, AI requirement, DOCX import</cp:keywords>
  <dc:description>Generated template without sensitive data.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