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 w:val="0"/>
          <w:color w:val="1F4E79"/>
          <w:sz w:val="40"/>
        </w:rPr>
        <w:t>Karta požadavku na AI</w:t>
      </w:r>
    </w:p>
    <w:p>
      <w:pPr>
        <w:jc w:val="center"/>
      </w:pPr>
      <w:r>
        <w:rPr>
          <w:rFonts w:ascii="Arial" w:hAnsi="Arial" w:eastAsia="Arial"/>
          <w:b w:val="0"/>
          <w:i/>
          <w:color w:val="5F5F5F"/>
          <w:sz w:val="20"/>
        </w:rPr>
        <w:t>Rozšířená importovatelná šablona pro triáž, scoring a portfoliové řízení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CE4D6"/>
            <w:tcBorders>
              <w:top w:val="single" w:sz="8" w:space="0" w:color="E69138"/>
              <w:left w:val="single" w:sz="8" w:space="0" w:color="E69138"/>
              <w:bottom w:val="single" w:sz="8" w:space="0" w:color="E69138"/>
              <w:right w:val="single" w:sz="8" w:space="0" w:color="E69138"/>
            </w:tcBorders>
          </w:tcPr>
          <w:p>
            <w:r>
              <w:rPr>
                <w:rFonts w:ascii="Arial" w:hAnsi="Arial" w:eastAsia="Arial"/>
                <w:b/>
                <w:i w:val="0"/>
                <w:color w:val="C00000"/>
                <w:sz w:val="18"/>
              </w:rPr>
              <w:t xml:space="preserve">Bezpečnostní upozornění: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Do dokumentu nevkládejte utajované informace, citlivé operační údaje ani osobní údaje, pokud k tomu není určené schválené prostředí. Citlivé přílohy popište pouze evidenčním číslem nebo odkazem na řízené úložiště.</w:t>
            </w:r>
          </w:p>
        </w:tc>
      </w:tr>
    </w:tbl>
    <w:p>
      <w:pPr>
        <w:spacing w:after="60"/>
        <w:jc w:val="left"/>
      </w:pPr>
      <w:r>
        <w:rPr>
          <w:rFonts w:ascii="Arial" w:hAnsi="Arial" w:eastAsia="Arial"/>
          <w:b w:val="0"/>
          <w:i w:val="0"/>
          <w:color w:val="5F5F5F"/>
          <w:sz w:val="14"/>
        </w:rPr>
        <w:t>AIIP_IMPORT_SCHEMA_VERSION: AIIP-DOCX-1.0 | AIIP_DOCUMENT_TYPE: requirement_card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EEF6FB"/>
            <w:tcBorders>
              <w:top w:val="single" w:sz="8" w:space="0" w:color="9ECAE1"/>
              <w:left w:val="single" w:sz="8" w:space="0" w:color="9ECAE1"/>
              <w:bottom w:val="single" w:sz="8" w:space="0" w:color="9ECAE1"/>
              <w:right w:val="single" w:sz="8" w:space="0" w:color="9ECAE1"/>
            </w:tcBorders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18"/>
              </w:rPr>
              <w:t xml:space="preserve">Účel: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Tato karta je cílový strukturovaný záznam požadavku. Vyplňuje ji navrhovatel, digitální ambasador a odborné týmy. Po nahrání do aplikace se převede na podnět, hodnocení, bezpečnostní posouzení, RACI a workflow historii.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1. Základní identifikace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ID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přidělí registr / aplikace]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aiip.idea.externalId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Název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aiip.idea.title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Navrhovatel / útvar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aiip.submitter.unit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Kontaktní osoba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jméno, funkce, kontakt]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aiip.submitter.contact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Digitální ambasador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je určen]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aiip.idea.ambassador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Datum podání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aiip.idea.submittedAt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Priorita navrhovatele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[Nízká / střední / vysoká / kritická]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aiip.idea.priority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Stav požadavku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[Nový podnět / Analýza / Schváleno k PoC / PoC / Vyhodnocení PoC / Pilot / Produkce / Archivováno / Zamítnuto]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aiip.idea.stage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Verze dokumentu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aiip.import.documentVersion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Zdroj informace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[Navrhovatel / Digitální ambasador / Analytik portfolia / Technologický tým / Bezpečnostní tým / Pracovní skupina]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aiip.import.informationSource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2. Klasifikace, citlivost a strategická vazba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Strategická linie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[Administrativně-správní procesy / operační schopnosti / obojí]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aiip.idea.strategicLine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Oblast použití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[Akvizice / logistika / C2 / ISR / štábní činnost / KIS / kyber / vzdělávání / právní agenda / jiné]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aiip.idea.category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Typ AI schopnosti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[LLM / RAG / OCR / Speech-to-Text / Computer Vision / Prediction / Optimization / Agentic Workflow / Classification / Other]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aiip.idea.aiCapabilityType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Klasifikace samotné karty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aiip.idea.cardSensitivity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Citlivost vstupních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aiip.idea.inputDataSensitivity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Citlivost výstupů AI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[Veřejné / Interní / Citlivé / Vyhrazené / Důvěrné / Tajné / Neznámé]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aiip.idea.outputDataSensitivity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Vazba na cíle strategie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schopnosti, digitalizace, bezpečnost, governance, proces PoC–pilot–produkce]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aiip.idea.strategyAlignmentText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Vazba na existující iniciativy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M365/Copilot, IKM, KIS, existující agent, pilot, projekt]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aiip.idea.existingInitiatives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Duplicitní nebo související požadavky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aplikace doplní návrh duplicit při importu]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aiip.idea.relatedIdeas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3. Popis problému a požadovaný výstup AI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Současný proces / činnost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jak se práce provádí dnes]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aiip.idea.currentProcessDescription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Problém k řešení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procesně a měřitelně]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aiip.idea.problemStatement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Důsledek neřešení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zpoždění, chybovost, provozní riziko, nízká kvalita, ztráta informace]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aiip.idea.problemImpact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Četnost a objem práce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počet případů, dokumentů, hodin, uživatelů, zdrojů]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aiip.idea.estimatedWorkload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Požadovaný výstup AI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sumarizace, generování, klasifikace, extrakce, predikce, vyhledávání, STT, CV, podpora rozhodování]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aiip.idea.proposedOutcome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Rozhodnutí, která AI nesmí činit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povinné pro všechny use-cases]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aiip.idea.decisionBoundary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Role člověka ve workflow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kdo kontroluje, validuje, schvaluje a přebírá odpovědnost]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aiip.idea.humanInTheLoop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4. Cíloví uživatelé a provozní scénář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Cíloví uživatelé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role / funkce]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aiip.idea.targetUsers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Odhad počtu uživatelů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aiip.idea.estimatedUserCount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Organizační rozsah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útvar, sekce, velitelství, celorezortně]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aiip.idea.organizationalScope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Provozní scénář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kdy a jak se nástroj použije]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aiip.idea.operationalScenario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Požadovaná dostupnost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[Pracovní doba / 24/7 / cvičení / nasazení / offline režim]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aiip.idea.availabilityRequirement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Požadavky na školení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uživatelé, garanti, bezpečnostní role]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aiip.idea.trainingRequirement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5. Přínosy a metriky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Typ přínosu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[Úspora času / snížení chybovosti / kvalita / rychlejší rozhodování / dostupnost informací / interoperabilita]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aiip.idea.benefitType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Baseline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současný čas, chybovost, náklady, počet případů]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aiip.idea.baseline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Cílová hodnota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konkrétní měřitelná hodnota]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aiip.idea.targetMetric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Způsob měření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logy, dotazník, audit vzorků, porovnání před/po]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aiip.idea.measurementMethod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Outcome metriky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dopad na rozhodovací cyklus, kvalitu, kapacitu, chybovost]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aiip.idea.outcomeMetrics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Předpokládaný reuse potenciál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[Nízký / střední / vysoký + popis]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aiip.idea.reusePotential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6. Data, zdroje a datová hranice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Datové vstupy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typy dat, dokumenty, systémy, zdroje]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aiip.idea.dataSources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Vlastník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aiip.idea.dataOwner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Riziko agregace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[Nízké / střední / vysoké / kritické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aiip.security.aggregationRisk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Osobní údaje / obchodní citlivost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/ nejasné – upřesnit]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aiip.security.personalOrBusinessSensitive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Otevřené zdroje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– uvést typy zdrojů]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aiip.idea.openSources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Interní dokumenty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 / ne – uvést rozsah]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aiip.idea.internalDocuments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Dostupnost vzorků pro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[Anonymizované / syntetické / řízený přístup / nejsou]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aiip.idea.sampleDataAvailability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Kvalita a připravenost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[Nízká / střední / vysoká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aiip.idea.dataReadinessText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Datová hranice řešení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jaká data lze a nelze zpracovávat]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aiip.security.dataBoundary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7. Předběžné bezpečnostní a právní posouzení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Riziko úniku nebo neoprávněného sdílení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[Nízké / střední / vysoké / kritické + opatření]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aiip.security.leakageRisk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Automation bias / falešná důvěra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[Nízké / střední / vysoké / kritické + opatření]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aiip.security.automationBiasRisk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Prompt injection / data poisoning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[Nízké / střední / vysoké / kritické + opatření]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aiip.security.adversarialRisk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Auditovatelnost a dohledatelnost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[Požadováno / kriticky požadováno + logy a stopy]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aiip.security.auditabilityRequirement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Právní / smluvní / licenční omezení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aiip.security.legalConstraints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Předběžné guardrails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human-in-the-loop, role-based access, zákaz exportu, citace, audit]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aiip.security.guardrails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Stanovisko bezpečnostního týmu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před PoC/pilotem podle citlivosti]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aiip.review.securityStatement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Stanovisko právního / věcného garanta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pokud je relevantní]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aiip.review.legalOrBusinessStatement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8. Technické řešení a prostředí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Navrhovaná technologie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LLM, agent, RAG, STT, NLP, ML, CV, OSINT nástroj, Copilot, on-prem model]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aiip.idea.proposedTechnology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Typ řešení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[Standardní nástroj / rozšíření agenta / integrace / nový vývoj / převzaté řešení]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aiip.idea.solutionType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Doporučené prostředí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[Internet experiment / Cloud / Služba / Hybrid / On-prem / Edge / Nelze určit]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aiip.idea.environmentRecommendation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Zdůvodnění prostředí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citlivost, rychlost PoC, konektivita, interoperabilita, ekonomika]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aiip.idea.environmentRationale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Integrace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M365, SharePoint, Teams, Word, KIS, C2/ISR/logistika, API, datové úložiště]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aiip.idea.integrations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Požadavky na interoperabilitu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standardy, datové formáty, test/cvičení]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aiip.idea.interoperabilityRequirement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Stav připravenosti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[Nápad / existující nástroj / demo / PoC / pilot / provoz jinde]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aiip.idea.readinessLevel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Provozní a support model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vlastník provozu, SLA, servis, incidenty]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aiip.idea.supportModel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9. Vlastnictví a RACI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Věcný garant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aiip.raci.businessOwner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Technický garant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aiip.raci.technicalOwner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Vlastník dat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aiip.raci.dataOwner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Bezpečnostní garant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aiip.raci.securityOwner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Garant uživatelů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aiip.raci.userOwner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Provozní vlastník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nesmí zůstat pouze u technického garanta]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aiip.raci.operationalOwner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Rozhodovací orgán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typicky Pracovní skupina pro koordinaci AI]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aiip.raci.decisionBody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10. Náročnost, zdroje a závislosti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Odhad náročnosti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[Nízká / střední / vysoká]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aiip.idea.effortLevel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Odhad časového horizontu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PoC, pilot, produkce]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aiip.idea.timelineEstimate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Rozpočtové dopady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licence, infrastruktura, služby, interní kapacity]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aiip.idea.budgetImpact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Potřebná součinnost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uživatelé, SKIS, bezpečnost, právní, akvizice, datový vlastník]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aiip.idea.requiredCooperation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Závislosti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licence, data, infrastruktura, schválení, smlouvy]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aiip.idea.dependencies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Rizika implementace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aiip.idea.implementationRisks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11. Hodnocení pro triáž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22"/>
      </w:tblGrid>
      <w:tr>
        <w:tc>
          <w:tcPr>
            <w:tcW w:type="dxa" w:w="10822"/>
            <w:shd w:fill="FFF2CC"/>
            <w:tcBorders>
              <w:top w:val="single" w:sz="8" w:space="0" w:color="9ECAE1"/>
              <w:left w:val="single" w:sz="8" w:space="0" w:color="9ECAE1"/>
              <w:bottom w:val="single" w:sz="8" w:space="0" w:color="9ECAE1"/>
              <w:right w:val="single" w:sz="8" w:space="0" w:color="9ECAE1"/>
            </w:tcBorders>
          </w:tcPr>
          <w:p>
            <w:r>
              <w:rPr>
                <w:rFonts w:ascii="Arial" w:hAnsi="Arial" w:eastAsia="Arial"/>
                <w:b/>
                <w:i w:val="0"/>
                <w:color w:val="1F4E79"/>
                <w:sz w:val="18"/>
              </w:rPr>
              <w:t xml:space="preserve">Legenda: </w:t>
            </w:r>
            <w:r>
              <w:rPr>
                <w:rFonts w:ascii="Arial" w:hAnsi="Arial" w:eastAsia="Arial"/>
                <w:b w:val="0"/>
                <w:i w:val="0"/>
                <w:sz w:val="18"/>
              </w:rPr>
              <w:t>Všechna skóre jsou 0–5 a vyšší hodnota vždy znamená lepší stav. Riziko proto nehodnoťte jako „vyšší riziko“, ale jako „bezpečnostní zvládnutelnost“. Celkové skóre nenahrazuje rozhodnutí Pracovní skupiny.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94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4762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Strategická vazba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aiip.assessment.strategicAlignmentScore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Dopad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aiip.assessment.impactScore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Rozsah uživatelů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aiip.assessment.userReachScore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Naléhavost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aiip.assessment.urgencyScore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Technická proveditelnost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aiip.assessment.feasibilityScore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Datová připravenost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aiip.assessment.dataReadinessScore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Bezpečnostní zvládnutelnost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komentář; vyšší = lépe zvládnutelné]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aiip.assessment.securityManageabilityScore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Interoperabilita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aiip.assessment.interoperabilityScore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Reuse potenciál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aiip.assessment.reusePotentialScore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Time-to-value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aiip.assessment.timeToValueScore</w:t>
            </w:r>
          </w:p>
        </w:tc>
      </w:tr>
      <w:tr>
        <w:tc>
          <w:tcPr>
            <w:tcW w:type="dxa" w:w="294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Implementační jednoduchost</w:t>
            </w:r>
          </w:p>
        </w:tc>
        <w:tc>
          <w:tcPr>
            <w:tcW w:type="dxa" w:w="476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[0–5 + komentář; vyšší = jednodušší]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aiip.assessment.implementationSimplicityScore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12. Stage-gate podmínky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Podnět → Analýza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[Problém, cílová skupina, oblast použití, kontaktní osoba]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aiip.gate.intakeToAnalysis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Analýza → Schváleno k PoC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[Věcný garant, technický garant, datová hranice, PoC data bez citlivých údajů nebo schválený režim]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aiip.gate.analysisToPocApproval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PoC → Pilot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[Baseline metriky, bezpečnostní stanovisko, vlastník provozu, pilotní scénář]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aiip.gate.pocToPilot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Pilot → Produkce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[Vyhodnocené metriky, provozní model, financování, bezpečnostní akceptace, rozhodnutí Pracovní skupiny]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aiip.gate.pilotToProduction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13. Rozhodnutí a další krok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Doporučení triáže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[Zamítnout / doplnit / sloučit / Schváleno k PoC / PoC / pilot / produkce / sledovat]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aiip.workflow.triageRecommendation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Podmínky další fáze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minimální vstupy, bezpečnostní guardrails, baseline, vlastník]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aiip.workflow.nextStageConditions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Navržený další krok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aiip.workflow.nextStep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Termín revize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aiip.workflow.reviewDate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Rozhodnutí Pracovní skupiny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aiip.workflow.workingGroupDecision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14. Přílohy a zdrojové podklady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07"/>
        <w:gridCol w:w="3607"/>
        <w:gridCol w:w="3607"/>
      </w:tblGrid>
      <w:tr>
        <w:trPr>
          <w:tblHeader w:val="true"/>
        </w:trPr>
        <w:tc>
          <w:tcPr>
            <w:tcW w:type="dxa" w:w="260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Pole</w:t>
            </w:r>
          </w:p>
        </w:tc>
        <w:tc>
          <w:tcPr>
            <w:tcW w:type="dxa" w:w="5103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Hodnota / odpověď</w:t>
            </w:r>
          </w:p>
        </w:tc>
        <w:tc>
          <w:tcPr>
            <w:tcW w:type="dxa" w:w="2268"/>
            <w:shd w:fill="1F4E7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>
            <w:pPr>
              <w:jc w:val="left"/>
            </w:pPr>
            <w:r>
              <w:rPr>
                <w:rFonts w:ascii="Arial" w:hAnsi="Arial" w:eastAsia="Arial"/>
                <w:b/>
                <w:i w:val="0"/>
                <w:color w:val="FFFFFF"/>
                <w:sz w:val="17"/>
              </w:rPr>
              <w:t>Importní klíč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Přílohy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[Procesní diagram, šablony, anonymizované vzorky, popis dat, stanoviska, reference]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aiip.attachments.references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Uložení citlivých příloh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[Nevkládat do běžného formuláře; použít řízené úložiště a uvést odkaz / evidenční číslo]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aiip.attachments.sensitiveStorageReference</w:t>
            </w:r>
          </w:p>
        </w:tc>
      </w:tr>
      <w:tr>
        <w:tc>
          <w:tcPr>
            <w:tcW w:type="dxa" w:w="260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D9EAF7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Zdrojové podklady</w:t>
            </w:r>
          </w:p>
        </w:tc>
        <w:tc>
          <w:tcPr>
            <w:tcW w:type="dxa" w:w="5103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sz w:val="17"/>
              </w:rPr>
              <w:t>[DOPLNIT – konkrétní požadavek, strategie, přílohy, vzorky dat]</w:t>
            </w:r>
          </w:p>
        </w:tc>
        <w:tc>
          <w:tcPr>
            <w:tcW w:type="dxa" w:w="2268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top"/>
            <w:shd w:fill="F2F2F2"/>
          </w:tcPr>
          <w:p>
            <w:pPr>
              <w:spacing w:after="0"/>
            </w:pPr>
            <w:r>
              <w:rPr>
                <w:rFonts w:ascii="Arial" w:hAnsi="Arial" w:eastAsia="Arial"/>
                <w:b w:val="0"/>
                <w:i w:val="0"/>
                <w:color w:val="5F5F5F"/>
                <w:sz w:val="13"/>
              </w:rPr>
              <w:t>aiip.attachments.sourceMaterials</w:t>
            </w:r>
          </w:p>
        </w:tc>
      </w:tr>
    </w:tbl>
    <w:p>
      <w:pPr>
        <w:spacing w:after="20"/>
      </w:pP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4E79"/>
          <w:sz w:val="28"/>
        </w:rPr>
        <w:t>15. Importní pravidla pro aplikaci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Aplikace čte pouze řádky obsahující importní klíč začínající „aiip.“.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Pokud je nahrán i dokument typu data_security_appendix se stejným ID, korelačním označením nebo názvem, aplikace nabídne sloučení dat.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Při hodnotě Důvěrné nebo Tajné se import označí jako vyžadující bezpečnostní kontrolu a nezpřístupní se běžným uživatelům v MVP režimu.</w:t>
      </w:r>
    </w:p>
    <w:p>
      <w:pPr>
        <w:ind w:left="227" w:hanging="142"/>
      </w:pPr>
      <w:r>
        <w:rPr>
          <w:rFonts w:ascii="Arial" w:hAnsi="Arial" w:eastAsia="Arial"/>
          <w:b w:val="0"/>
          <w:i w:val="0"/>
          <w:sz w:val="18"/>
        </w:rPr>
        <w:t xml:space="preserve">• </w:t>
      </w:r>
      <w:r>
        <w:rPr>
          <w:rFonts w:ascii="Arial" w:hAnsi="Arial" w:eastAsia="Arial"/>
          <w:b w:val="0"/>
          <w:i w:val="0"/>
          <w:sz w:val="18"/>
        </w:rPr>
        <w:t>Hodnoty [DOPLNIT] se importují jako chybějící informace a zobrazí se v kontrolním seznamu doplnění.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4" w:right="709" w:bottom="680" w:left="709" w:header="340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 w:val="0"/>
        <w:color w:val="5F5F5F"/>
        <w:sz w:val="14"/>
      </w:rPr>
      <w:t>Neobsahuje utajované informace. Citlivé přílohy evidujte pouze odkazem na řízené úložiště.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 w:val="0"/>
        <w:i w:val="0"/>
        <w:color w:val="5F5F5F"/>
        <w:sz w:val="16"/>
      </w:rPr>
      <w:t>AI Innovation Portal | importovatelný pracovní dokument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požadavku na AI</dc:title>
  <dc:subject>Importovatelná šablona pro AI požadavky</dc:subject>
  <dc:creator>AI Innovation Portal</dc:creator>
  <cp:keywords>AIIP, AI requirement, DOCX import</cp:keywords>
  <dc:description>Generated template without sensitive data.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